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BF" w:rsidRPr="00BF5A98" w:rsidRDefault="00A746BF" w:rsidP="00BF5A98">
      <w:pPr>
        <w:widowControl/>
        <w:spacing w:line="0" w:lineRule="atLeast"/>
        <w:jc w:val="center"/>
        <w:rPr>
          <w:rFonts w:ascii="標楷體" w:eastAsia="標楷體" w:hAnsi="標楷體" w:cs="新細明體"/>
          <w:kern w:val="0"/>
          <w:sz w:val="36"/>
          <w:szCs w:val="24"/>
        </w:rPr>
      </w:pPr>
      <w:r w:rsidRPr="00BF5A98">
        <w:rPr>
          <w:rFonts w:ascii="標楷體" w:eastAsia="標楷體" w:hAnsi="標楷體" w:cs="新細明體" w:hint="eastAsia"/>
          <w:kern w:val="0"/>
          <w:sz w:val="36"/>
          <w:szCs w:val="24"/>
        </w:rPr>
        <w:t>科技部衍生專利技術移轉</w:t>
      </w:r>
    </w:p>
    <w:p w:rsidR="00A746BF" w:rsidRDefault="00A746BF" w:rsidP="00BF5A98">
      <w:pPr>
        <w:widowControl/>
        <w:spacing w:line="0" w:lineRule="atLeast"/>
        <w:jc w:val="center"/>
        <w:rPr>
          <w:rFonts w:ascii="標楷體" w:eastAsia="標楷體" w:hAnsi="標楷體" w:cs="新細明體"/>
          <w:kern w:val="0"/>
          <w:sz w:val="36"/>
          <w:szCs w:val="24"/>
        </w:rPr>
      </w:pPr>
      <w:r w:rsidRPr="00BF5A98">
        <w:rPr>
          <w:rFonts w:ascii="標楷體" w:eastAsia="標楷體" w:hAnsi="標楷體" w:cs="新細明體" w:hint="eastAsia"/>
          <w:kern w:val="0"/>
          <w:sz w:val="36"/>
          <w:szCs w:val="24"/>
        </w:rPr>
        <w:t>獎勵補助方案</w:t>
      </w:r>
    </w:p>
    <w:p w:rsidR="00BF5A98" w:rsidRDefault="00BF5A98" w:rsidP="00BF5A98">
      <w:pPr>
        <w:widowControl/>
        <w:spacing w:line="0" w:lineRule="atLeast"/>
        <w:jc w:val="center"/>
        <w:rPr>
          <w:rFonts w:ascii="標楷體" w:eastAsia="標楷體" w:hAnsi="標楷體" w:cs="新細明體"/>
          <w:kern w:val="0"/>
          <w:sz w:val="36"/>
          <w:szCs w:val="24"/>
        </w:rPr>
      </w:pPr>
    </w:p>
    <w:p w:rsidR="00BF5A98" w:rsidRPr="00BF5A98" w:rsidRDefault="00BF5A98" w:rsidP="00BF5A98">
      <w:pPr>
        <w:widowControl/>
        <w:spacing w:line="0" w:lineRule="atLeast"/>
        <w:jc w:val="center"/>
        <w:rPr>
          <w:rFonts w:ascii="標楷體" w:eastAsia="標楷體" w:hAnsi="標楷體" w:cs="新細明體" w:hint="eastAsia"/>
          <w:kern w:val="0"/>
          <w:sz w:val="36"/>
          <w:szCs w:val="24"/>
        </w:rPr>
      </w:pPr>
    </w:p>
    <w:p w:rsidR="00A746BF" w:rsidRPr="00BF5A98" w:rsidRDefault="00A746BF" w:rsidP="00BF5A98">
      <w:pPr>
        <w:widowControl/>
        <w:spacing w:line="276" w:lineRule="auto"/>
        <w:ind w:firstLine="480"/>
        <w:jc w:val="both"/>
        <w:rPr>
          <w:rFonts w:ascii="標楷體" w:eastAsia="標楷體" w:hAnsi="標楷體" w:cs="新細明體"/>
          <w:kern w:val="0"/>
          <w:szCs w:val="24"/>
        </w:rPr>
      </w:pPr>
      <w:r w:rsidRPr="00A746BF">
        <w:rPr>
          <w:rFonts w:ascii="標楷體" w:eastAsia="標楷體" w:hAnsi="標楷體" w:cs="新細明體"/>
          <w:kern w:val="0"/>
          <w:szCs w:val="24"/>
        </w:rPr>
        <w:t>「發明專利申請維護及推廣計畫」</w:t>
      </w:r>
      <w:r w:rsidR="00C82529" w:rsidRPr="00BF5A98">
        <w:rPr>
          <w:rFonts w:ascii="標楷體" w:eastAsia="標楷體" w:hAnsi="標楷體" w:cs="新細明體" w:hint="eastAsia"/>
          <w:kern w:val="0"/>
          <w:szCs w:val="24"/>
        </w:rPr>
        <w:t>今年為計畫執行的第5年，本計畫精神主要為透過校內的自審計畫將經費挹注於具有高價值之專利，期望所補助之</w:t>
      </w:r>
      <w:r w:rsidR="0088788C">
        <w:rPr>
          <w:rFonts w:ascii="標楷體" w:eastAsia="標楷體" w:hAnsi="標楷體" w:cs="新細明體" w:hint="eastAsia"/>
          <w:kern w:val="0"/>
          <w:szCs w:val="24"/>
        </w:rPr>
        <w:t>專</w:t>
      </w:r>
      <w:r w:rsidR="00C82529" w:rsidRPr="00BF5A98">
        <w:rPr>
          <w:rFonts w:ascii="標楷體" w:eastAsia="標楷體" w:hAnsi="標楷體" w:cs="新細明體" w:hint="eastAsia"/>
          <w:kern w:val="0"/>
          <w:szCs w:val="24"/>
        </w:rPr>
        <w:t>利能成功商品化且技術移轉，計畫執行至今5年來補助了許多的專利申請，然而所獲證之專利成功技術移轉之數量遠遠低於申請數量</w:t>
      </w:r>
      <w:r w:rsidRPr="00A746BF">
        <w:rPr>
          <w:rFonts w:ascii="標楷體" w:eastAsia="標楷體" w:hAnsi="標楷體" w:cs="新細明體"/>
          <w:kern w:val="0"/>
          <w:szCs w:val="24"/>
        </w:rPr>
        <w:t>，因此希望</w:t>
      </w:r>
      <w:r w:rsidR="00C82529" w:rsidRPr="00BF5A98">
        <w:rPr>
          <w:rFonts w:ascii="標楷體" w:eastAsia="標楷體" w:hAnsi="標楷體" w:cs="新細明體"/>
          <w:kern w:val="0"/>
          <w:szCs w:val="24"/>
        </w:rPr>
        <w:t>能</w:t>
      </w:r>
      <w:r w:rsidR="00C82529" w:rsidRPr="00BF5A98">
        <w:rPr>
          <w:rFonts w:ascii="標楷體" w:eastAsia="標楷體" w:hAnsi="標楷體" w:cs="新細明體" w:hint="eastAsia"/>
          <w:kern w:val="0"/>
          <w:szCs w:val="24"/>
        </w:rPr>
        <w:t>強化推廣技術移轉，</w:t>
      </w:r>
      <w:r w:rsidR="0088788C">
        <w:rPr>
          <w:rFonts w:ascii="標楷體" w:eastAsia="標楷體" w:hAnsi="標楷體" w:cs="新細明體"/>
          <w:kern w:val="0"/>
          <w:szCs w:val="24"/>
        </w:rPr>
        <w:t>同時</w:t>
      </w:r>
      <w:r w:rsidR="0088788C">
        <w:rPr>
          <w:rFonts w:ascii="標楷體" w:eastAsia="標楷體" w:hAnsi="標楷體" w:cs="新細明體" w:hint="eastAsia"/>
          <w:kern w:val="0"/>
          <w:szCs w:val="24"/>
        </w:rPr>
        <w:t>我們</w:t>
      </w:r>
      <w:bookmarkStart w:id="0" w:name="_GoBack"/>
      <w:bookmarkEnd w:id="0"/>
      <w:r w:rsidR="0088788C">
        <w:rPr>
          <w:rFonts w:ascii="標楷體" w:eastAsia="標楷體" w:hAnsi="標楷體" w:cs="新細明體"/>
          <w:kern w:val="0"/>
          <w:szCs w:val="24"/>
        </w:rPr>
        <w:t>也了解科技部衍生專利技轉</w:t>
      </w:r>
      <w:r w:rsidR="0088788C">
        <w:rPr>
          <w:rFonts w:ascii="標楷體" w:eastAsia="標楷體" w:hAnsi="標楷體" w:cs="新細明體" w:hint="eastAsia"/>
          <w:kern w:val="0"/>
          <w:szCs w:val="24"/>
        </w:rPr>
        <w:t>皆</w:t>
      </w:r>
      <w:r w:rsidRPr="00A746BF">
        <w:rPr>
          <w:rFonts w:ascii="標楷體" w:eastAsia="標楷體" w:hAnsi="標楷體" w:cs="新細明體"/>
          <w:kern w:val="0"/>
          <w:szCs w:val="24"/>
        </w:rPr>
        <w:t>需上繳20％技轉金於國庫，對於老師確實不小的損失</w:t>
      </w:r>
      <w:r w:rsidR="00C82529" w:rsidRPr="00BF5A98">
        <w:rPr>
          <w:rFonts w:ascii="標楷體" w:eastAsia="標楷體" w:hAnsi="標楷體" w:cs="新細明體" w:hint="eastAsia"/>
          <w:kern w:val="0"/>
          <w:szCs w:val="24"/>
        </w:rPr>
        <w:t>，因此</w:t>
      </w:r>
      <w:r w:rsidR="0088788C">
        <w:rPr>
          <w:rFonts w:ascii="標楷體" w:eastAsia="標楷體" w:hAnsi="標楷體" w:cs="新細明體" w:hint="eastAsia"/>
          <w:kern w:val="0"/>
          <w:szCs w:val="24"/>
        </w:rPr>
        <w:t>本校</w:t>
      </w:r>
      <w:r w:rsidR="00C82529" w:rsidRPr="00BF5A98">
        <w:rPr>
          <w:rFonts w:ascii="標楷體" w:eastAsia="標楷體" w:hAnsi="標楷體" w:cs="新細明體" w:hint="eastAsia"/>
          <w:kern w:val="0"/>
          <w:szCs w:val="24"/>
        </w:rPr>
        <w:t>將透過試辦獎補助方案，減低老師簽訂科技部專利技轉時之損失</w:t>
      </w:r>
    </w:p>
    <w:p w:rsidR="00C82529" w:rsidRPr="00BF5A98" w:rsidRDefault="00C82529" w:rsidP="00C82529">
      <w:pPr>
        <w:widowControl/>
        <w:jc w:val="both"/>
        <w:rPr>
          <w:rFonts w:ascii="標楷體" w:eastAsia="標楷體" w:hAnsi="標楷體" w:cs="新細明體"/>
          <w:kern w:val="0"/>
          <w:szCs w:val="24"/>
        </w:rPr>
      </w:pPr>
    </w:p>
    <w:p w:rsidR="00BF5A98" w:rsidRPr="00BF5A98" w:rsidRDefault="00C82529" w:rsidP="00BF5A98">
      <w:pPr>
        <w:widowControl/>
        <w:spacing w:line="276" w:lineRule="auto"/>
        <w:jc w:val="both"/>
        <w:rPr>
          <w:rFonts w:ascii="標楷體" w:eastAsia="標楷體" w:hAnsi="標楷體" w:cs="新細明體"/>
          <w:b/>
          <w:kern w:val="0"/>
          <w:sz w:val="28"/>
          <w:szCs w:val="24"/>
        </w:rPr>
      </w:pPr>
      <w:r w:rsidRPr="00BF5A98">
        <w:rPr>
          <w:rFonts w:ascii="標楷體" w:eastAsia="標楷體" w:hAnsi="標楷體" w:cs="新細明體" w:hint="eastAsia"/>
          <w:b/>
          <w:kern w:val="0"/>
          <w:sz w:val="28"/>
          <w:szCs w:val="24"/>
        </w:rPr>
        <w:t>補助時程：</w:t>
      </w:r>
    </w:p>
    <w:p w:rsidR="00C82529" w:rsidRPr="00A746BF" w:rsidRDefault="00C82529" w:rsidP="00BF5A98">
      <w:pPr>
        <w:widowControl/>
        <w:spacing w:line="276" w:lineRule="auto"/>
        <w:jc w:val="both"/>
        <w:rPr>
          <w:rFonts w:ascii="標楷體" w:eastAsia="標楷體" w:hAnsi="標楷體" w:cs="新細明體" w:hint="eastAsia"/>
          <w:kern w:val="0"/>
          <w:szCs w:val="24"/>
        </w:rPr>
      </w:pPr>
      <w:r w:rsidRPr="00BF5A98">
        <w:rPr>
          <w:rFonts w:ascii="標楷體" w:eastAsia="標楷體" w:hAnsi="標楷體" w:cs="新細明體" w:hint="eastAsia"/>
          <w:kern w:val="0"/>
          <w:szCs w:val="24"/>
        </w:rPr>
        <w:t>即日起至9月底</w:t>
      </w:r>
    </w:p>
    <w:p w:rsidR="00A746BF" w:rsidRPr="00A746BF" w:rsidRDefault="00C82529" w:rsidP="00BF5A98">
      <w:pPr>
        <w:widowControl/>
        <w:spacing w:line="276" w:lineRule="auto"/>
        <w:rPr>
          <w:rFonts w:ascii="標楷體" w:eastAsia="標楷體" w:hAnsi="標楷體" w:cs="新細明體"/>
          <w:b/>
          <w:kern w:val="0"/>
          <w:sz w:val="28"/>
          <w:szCs w:val="24"/>
        </w:rPr>
      </w:pPr>
      <w:r w:rsidRPr="00BF5A98">
        <w:rPr>
          <w:rFonts w:ascii="標楷體" w:eastAsia="標楷體" w:hAnsi="標楷體" w:cs="新細明體" w:hint="eastAsia"/>
          <w:b/>
          <w:kern w:val="0"/>
          <w:sz w:val="28"/>
          <w:szCs w:val="24"/>
        </w:rPr>
        <w:t>申請條件</w:t>
      </w:r>
      <w:r w:rsidR="00A746BF" w:rsidRPr="00A746BF">
        <w:rPr>
          <w:rFonts w:ascii="標楷體" w:eastAsia="標楷體" w:hAnsi="標楷體" w:cs="新細明體"/>
          <w:b/>
          <w:kern w:val="0"/>
          <w:sz w:val="28"/>
          <w:szCs w:val="24"/>
        </w:rPr>
        <w:t>：</w:t>
      </w:r>
    </w:p>
    <w:p w:rsidR="00A746BF" w:rsidRPr="00A746BF" w:rsidRDefault="00A746BF" w:rsidP="00BF5A98">
      <w:pPr>
        <w:pStyle w:val="a3"/>
        <w:numPr>
          <w:ilvl w:val="0"/>
          <w:numId w:val="1"/>
        </w:numPr>
        <w:spacing w:line="276" w:lineRule="auto"/>
        <w:ind w:leftChars="0"/>
        <w:rPr>
          <w:rFonts w:ascii="標楷體" w:eastAsia="標楷體" w:hAnsi="標楷體"/>
        </w:rPr>
      </w:pPr>
      <w:r w:rsidRPr="00A746BF">
        <w:rPr>
          <w:rFonts w:ascii="標楷體" w:eastAsia="標楷體" w:hAnsi="標楷體"/>
        </w:rPr>
        <w:t>科技部衍生專利技術移轉</w:t>
      </w:r>
    </w:p>
    <w:p w:rsidR="00A746BF" w:rsidRPr="00A746BF" w:rsidRDefault="00A746BF" w:rsidP="00BF5A98">
      <w:pPr>
        <w:pStyle w:val="a3"/>
        <w:numPr>
          <w:ilvl w:val="0"/>
          <w:numId w:val="1"/>
        </w:numPr>
        <w:spacing w:line="276" w:lineRule="auto"/>
        <w:ind w:leftChars="0"/>
        <w:rPr>
          <w:rFonts w:ascii="標楷體" w:eastAsia="標楷體" w:hAnsi="標楷體"/>
        </w:rPr>
      </w:pPr>
      <w:r w:rsidRPr="00A746BF">
        <w:rPr>
          <w:rFonts w:ascii="標楷體" w:eastAsia="標楷體" w:hAnsi="標楷體"/>
        </w:rPr>
        <w:t>技術移轉案金額大於10萬</w:t>
      </w:r>
    </w:p>
    <w:p w:rsidR="00C82529" w:rsidRPr="00A746BF" w:rsidRDefault="00C82529" w:rsidP="00BF5A98">
      <w:pPr>
        <w:widowControl/>
        <w:spacing w:line="276" w:lineRule="auto"/>
        <w:rPr>
          <w:rFonts w:ascii="標楷體" w:eastAsia="標楷體" w:hAnsi="標楷體" w:cs="新細明體" w:hint="eastAsia"/>
          <w:b/>
          <w:kern w:val="0"/>
          <w:sz w:val="28"/>
          <w:szCs w:val="24"/>
        </w:rPr>
      </w:pPr>
      <w:r w:rsidRPr="00BF5A98">
        <w:rPr>
          <w:rFonts w:ascii="標楷體" w:eastAsia="標楷體" w:hAnsi="標楷體" w:cs="新細明體" w:hint="eastAsia"/>
          <w:b/>
          <w:kern w:val="0"/>
          <w:sz w:val="28"/>
          <w:szCs w:val="24"/>
        </w:rPr>
        <w:t>補助費用：</w:t>
      </w:r>
    </w:p>
    <w:p w:rsidR="00BF5A98" w:rsidRPr="00BF5A98" w:rsidRDefault="00BF5A98" w:rsidP="00BF5A98">
      <w:pPr>
        <w:pStyle w:val="a3"/>
        <w:widowControl/>
        <w:numPr>
          <w:ilvl w:val="0"/>
          <w:numId w:val="4"/>
        </w:numPr>
        <w:spacing w:line="276" w:lineRule="auto"/>
        <w:ind w:leftChars="0"/>
        <w:rPr>
          <w:rFonts w:ascii="標楷體" w:eastAsia="標楷體" w:hAnsi="標楷體" w:cs="新細明體" w:hint="eastAsia"/>
          <w:kern w:val="0"/>
          <w:szCs w:val="24"/>
        </w:rPr>
      </w:pPr>
      <w:r w:rsidRPr="00BF5A98">
        <w:rPr>
          <w:rFonts w:ascii="標楷體" w:eastAsia="標楷體" w:hAnsi="標楷體" w:cs="新細明體" w:hint="eastAsia"/>
          <w:kern w:val="0"/>
          <w:szCs w:val="24"/>
        </w:rPr>
        <w:t>技術移轉金額20%</w:t>
      </w:r>
      <w:r>
        <w:rPr>
          <w:rFonts w:ascii="標楷體" w:eastAsia="標楷體" w:hAnsi="標楷體" w:cs="新細明體" w:hint="eastAsia"/>
          <w:kern w:val="0"/>
          <w:szCs w:val="24"/>
        </w:rPr>
        <w:t>（上限10萬）</w:t>
      </w:r>
    </w:p>
    <w:p w:rsidR="00A746BF" w:rsidRPr="00BF5A98" w:rsidRDefault="00BF5A98" w:rsidP="00BF5A98">
      <w:pPr>
        <w:widowControl/>
        <w:spacing w:line="276" w:lineRule="auto"/>
        <w:rPr>
          <w:rFonts w:ascii="標楷體" w:eastAsia="標楷體" w:hAnsi="標楷體" w:cs="新細明體"/>
          <w:kern w:val="0"/>
          <w:szCs w:val="24"/>
        </w:rPr>
      </w:pPr>
      <w:r>
        <w:rPr>
          <w:rFonts w:ascii="標楷體" w:eastAsia="標楷體" w:hAnsi="標楷體" w:cs="新細明體" w:hint="eastAsia"/>
          <w:kern w:val="0"/>
          <w:szCs w:val="24"/>
        </w:rPr>
        <w:t>※</w:t>
      </w:r>
      <w:r w:rsidR="00C82529" w:rsidRPr="00BF5A98">
        <w:rPr>
          <w:rFonts w:ascii="標楷體" w:eastAsia="標楷體" w:hAnsi="標楷體" w:cs="新細明體" w:hint="eastAsia"/>
          <w:kern w:val="0"/>
          <w:szCs w:val="24"/>
        </w:rPr>
        <w:t>補助費用以</w:t>
      </w:r>
      <w:r w:rsidR="00A746BF" w:rsidRPr="00BF5A98">
        <w:rPr>
          <w:rFonts w:ascii="標楷體" w:eastAsia="標楷體" w:hAnsi="標楷體" w:cs="新細明體"/>
          <w:kern w:val="0"/>
          <w:szCs w:val="24"/>
        </w:rPr>
        <w:t>材料費</w:t>
      </w:r>
      <w:r w:rsidR="00C82529" w:rsidRPr="00BF5A98">
        <w:rPr>
          <w:rFonts w:ascii="標楷體" w:eastAsia="標楷體" w:hAnsi="標楷體" w:cs="新細明體" w:hint="eastAsia"/>
          <w:kern w:val="0"/>
          <w:szCs w:val="24"/>
        </w:rPr>
        <w:t>為主，補助金額上限為10萬</w:t>
      </w:r>
      <w:r w:rsidR="00A746BF" w:rsidRPr="00BF5A98">
        <w:rPr>
          <w:rFonts w:ascii="標楷體" w:eastAsia="標楷體" w:hAnsi="標楷體" w:cs="新細明體"/>
          <w:kern w:val="0"/>
          <w:szCs w:val="24"/>
        </w:rPr>
        <w:t>，故技轉案金額50萬以上，皆補助10萬元，補助費用將於廠商付款後進行核銷</w:t>
      </w:r>
    </w:p>
    <w:p w:rsidR="00C82529" w:rsidRPr="00BF5A98" w:rsidRDefault="00C82529" w:rsidP="00BF5A98">
      <w:pPr>
        <w:spacing w:line="276" w:lineRule="auto"/>
        <w:rPr>
          <w:rFonts w:ascii="標楷體" w:eastAsia="標楷體" w:hAnsi="標楷體"/>
          <w:b/>
          <w:sz w:val="28"/>
        </w:rPr>
      </w:pPr>
      <w:r w:rsidRPr="00BF5A98">
        <w:rPr>
          <w:rFonts w:ascii="標楷體" w:eastAsia="標楷體" w:hAnsi="標楷體" w:hint="eastAsia"/>
          <w:b/>
          <w:sz w:val="28"/>
        </w:rPr>
        <w:t>注意事項</w:t>
      </w:r>
    </w:p>
    <w:p w:rsidR="00BF5A98" w:rsidRPr="00BF5A98" w:rsidRDefault="00BF5A98" w:rsidP="00BF5A98">
      <w:pPr>
        <w:pStyle w:val="a3"/>
        <w:numPr>
          <w:ilvl w:val="0"/>
          <w:numId w:val="3"/>
        </w:numPr>
        <w:spacing w:line="276" w:lineRule="auto"/>
        <w:ind w:leftChars="0"/>
        <w:rPr>
          <w:rFonts w:ascii="標楷體" w:eastAsia="標楷體" w:hAnsi="標楷體"/>
        </w:rPr>
      </w:pPr>
      <w:r>
        <w:rPr>
          <w:rFonts w:ascii="標楷體" w:eastAsia="標楷體" w:hAnsi="標楷體" w:hint="eastAsia"/>
        </w:rPr>
        <w:t>相關補助</w:t>
      </w:r>
      <w:r w:rsidRPr="00BF5A98">
        <w:rPr>
          <w:rFonts w:ascii="標楷體" w:eastAsia="標楷體" w:hAnsi="標楷體" w:hint="eastAsia"/>
        </w:rPr>
        <w:t>經費須於11月底前核銷完成</w:t>
      </w:r>
    </w:p>
    <w:p w:rsidR="00BF5A98" w:rsidRPr="00BF5A98" w:rsidRDefault="00BF5A98" w:rsidP="00BF5A98">
      <w:pPr>
        <w:pStyle w:val="a3"/>
        <w:numPr>
          <w:ilvl w:val="0"/>
          <w:numId w:val="3"/>
        </w:numPr>
        <w:spacing w:line="276" w:lineRule="auto"/>
        <w:ind w:leftChars="0"/>
        <w:rPr>
          <w:rFonts w:ascii="標楷體" w:eastAsia="標楷體" w:hAnsi="標楷體" w:hint="eastAsia"/>
        </w:rPr>
      </w:pPr>
      <w:r w:rsidRPr="00BF5A98">
        <w:rPr>
          <w:rFonts w:ascii="標楷體" w:eastAsia="標楷體" w:hAnsi="標楷體" w:hint="eastAsia"/>
        </w:rPr>
        <w:t>材料費請勿購買資訊耗材及行政文具用品</w:t>
      </w:r>
    </w:p>
    <w:sectPr w:rsidR="00BF5A98" w:rsidRPr="00BF5A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3EAE"/>
    <w:multiLevelType w:val="hybridMultilevel"/>
    <w:tmpl w:val="8F02C656"/>
    <w:lvl w:ilvl="0" w:tplc="0CBAA300">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6B2553"/>
    <w:multiLevelType w:val="hybridMultilevel"/>
    <w:tmpl w:val="B6020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67163A"/>
    <w:multiLevelType w:val="hybridMultilevel"/>
    <w:tmpl w:val="4D4A622E"/>
    <w:lvl w:ilvl="0" w:tplc="0CBAA300">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CF1AE5"/>
    <w:multiLevelType w:val="hybridMultilevel"/>
    <w:tmpl w:val="4D4A622E"/>
    <w:lvl w:ilvl="0" w:tplc="0CBAA300">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BF"/>
    <w:rsid w:val="002E44D7"/>
    <w:rsid w:val="00330F3C"/>
    <w:rsid w:val="0088788C"/>
    <w:rsid w:val="00A746BF"/>
    <w:rsid w:val="00BF5A98"/>
    <w:rsid w:val="00C82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C232"/>
  <w15:chartTrackingRefBased/>
  <w15:docId w15:val="{FD47ADFD-D283-45E3-8774-8BEEAD17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A9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962734">
      <w:bodyDiv w:val="1"/>
      <w:marLeft w:val="0"/>
      <w:marRight w:val="0"/>
      <w:marTop w:val="0"/>
      <w:marBottom w:val="0"/>
      <w:divBdr>
        <w:top w:val="none" w:sz="0" w:space="0" w:color="auto"/>
        <w:left w:val="none" w:sz="0" w:space="0" w:color="auto"/>
        <w:bottom w:val="none" w:sz="0" w:space="0" w:color="auto"/>
        <w:right w:val="none" w:sz="0" w:space="0" w:color="auto"/>
      </w:divBdr>
      <w:divsChild>
        <w:div w:id="923342322">
          <w:marLeft w:val="0"/>
          <w:marRight w:val="0"/>
          <w:marTop w:val="0"/>
          <w:marBottom w:val="0"/>
          <w:divBdr>
            <w:top w:val="none" w:sz="0" w:space="0" w:color="auto"/>
            <w:left w:val="none" w:sz="0" w:space="0" w:color="auto"/>
            <w:bottom w:val="none" w:sz="0" w:space="0" w:color="auto"/>
            <w:right w:val="none" w:sz="0" w:space="0" w:color="auto"/>
          </w:divBdr>
        </w:div>
        <w:div w:id="1973944352">
          <w:marLeft w:val="0"/>
          <w:marRight w:val="0"/>
          <w:marTop w:val="0"/>
          <w:marBottom w:val="0"/>
          <w:divBdr>
            <w:top w:val="none" w:sz="0" w:space="0" w:color="auto"/>
            <w:left w:val="none" w:sz="0" w:space="0" w:color="auto"/>
            <w:bottom w:val="none" w:sz="0" w:space="0" w:color="auto"/>
            <w:right w:val="none" w:sz="0" w:space="0" w:color="auto"/>
          </w:divBdr>
        </w:div>
        <w:div w:id="1505778185">
          <w:marLeft w:val="0"/>
          <w:marRight w:val="0"/>
          <w:marTop w:val="0"/>
          <w:marBottom w:val="0"/>
          <w:divBdr>
            <w:top w:val="none" w:sz="0" w:space="0" w:color="auto"/>
            <w:left w:val="none" w:sz="0" w:space="0" w:color="auto"/>
            <w:bottom w:val="none" w:sz="0" w:space="0" w:color="auto"/>
            <w:right w:val="none" w:sz="0" w:space="0" w:color="auto"/>
          </w:divBdr>
        </w:div>
        <w:div w:id="997540584">
          <w:marLeft w:val="0"/>
          <w:marRight w:val="0"/>
          <w:marTop w:val="0"/>
          <w:marBottom w:val="0"/>
          <w:divBdr>
            <w:top w:val="none" w:sz="0" w:space="0" w:color="auto"/>
            <w:left w:val="none" w:sz="0" w:space="0" w:color="auto"/>
            <w:bottom w:val="none" w:sz="0" w:space="0" w:color="auto"/>
            <w:right w:val="none" w:sz="0" w:space="0" w:color="auto"/>
          </w:divBdr>
        </w:div>
        <w:div w:id="1548175117">
          <w:marLeft w:val="0"/>
          <w:marRight w:val="0"/>
          <w:marTop w:val="0"/>
          <w:marBottom w:val="0"/>
          <w:divBdr>
            <w:top w:val="none" w:sz="0" w:space="0" w:color="auto"/>
            <w:left w:val="none" w:sz="0" w:space="0" w:color="auto"/>
            <w:bottom w:val="none" w:sz="0" w:space="0" w:color="auto"/>
            <w:right w:val="none" w:sz="0" w:space="0" w:color="auto"/>
          </w:divBdr>
        </w:div>
        <w:div w:id="1291979562">
          <w:marLeft w:val="0"/>
          <w:marRight w:val="0"/>
          <w:marTop w:val="0"/>
          <w:marBottom w:val="0"/>
          <w:divBdr>
            <w:top w:val="none" w:sz="0" w:space="0" w:color="auto"/>
            <w:left w:val="none" w:sz="0" w:space="0" w:color="auto"/>
            <w:bottom w:val="none" w:sz="0" w:space="0" w:color="auto"/>
            <w:right w:val="none" w:sz="0" w:space="0" w:color="auto"/>
          </w:divBdr>
        </w:div>
        <w:div w:id="1637681764">
          <w:marLeft w:val="0"/>
          <w:marRight w:val="0"/>
          <w:marTop w:val="0"/>
          <w:marBottom w:val="0"/>
          <w:divBdr>
            <w:top w:val="none" w:sz="0" w:space="0" w:color="auto"/>
            <w:left w:val="none" w:sz="0" w:space="0" w:color="auto"/>
            <w:bottom w:val="none" w:sz="0" w:space="0" w:color="auto"/>
            <w:right w:val="none" w:sz="0" w:space="0" w:color="auto"/>
          </w:divBdr>
        </w:div>
        <w:div w:id="773551179">
          <w:marLeft w:val="0"/>
          <w:marRight w:val="0"/>
          <w:marTop w:val="0"/>
          <w:marBottom w:val="0"/>
          <w:divBdr>
            <w:top w:val="none" w:sz="0" w:space="0" w:color="auto"/>
            <w:left w:val="none" w:sz="0" w:space="0" w:color="auto"/>
            <w:bottom w:val="none" w:sz="0" w:space="0" w:color="auto"/>
            <w:right w:val="none" w:sz="0" w:space="0" w:color="auto"/>
          </w:divBdr>
        </w:div>
        <w:div w:id="44049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2020-06-15T02:53:00Z</dcterms:created>
  <dcterms:modified xsi:type="dcterms:W3CDTF">2020-06-15T03:58:00Z</dcterms:modified>
</cp:coreProperties>
</file>